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вРузском центре обеспечения пунк­тов управления</w:t>
            </w:r>
            <w:br/>
            <w:r>
              <w:rPr/>
              <w:t xml:space="preserve">МЧС России проведено тор­жественное построение, приуроченное кпраздно­ванию Дня Государст­венного флага Российской Федерации.</w:t>
            </w:r>
            <w:br/>
            <w:br/>
            <w:r>
              <w:rPr/>
              <w:t xml:space="preserve">День Государственного флага Российской Федерации был установлен 20августа 1994 года указом президента России. В этот день повсеместнопроводятся торжественные и патриотические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2025-01-10T20:53:45+03:00</dcterms:created>
  <dcterms:modified xsi:type="dcterms:W3CDTF">2025-01-10T20:53:45+03:00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