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2024года.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организаций,находящихся в ведении МЧС России. Все участники соревнованийпродемонстрировали отличный уровень подготовки и показали высокиерезультаты.</w:t>
            </w:r>
            <w:br/>
            <w:br/>
            <w:r>
              <w:rPr/>
              <w:t xml:space="preserve">Победители и призеры соревнований в личном и командном зачетах былиотмечены 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2025-11-05T03:37:58+03:00</dcterms:created>
  <dcterms:modified xsi:type="dcterms:W3CDTF">2025-11-05T03:37:58+03:00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