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Финансовое обеспечение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Финансовое обеспечение личного состава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Порядокобеспечения денежным довольствием воен­нослужащих ФГКУ «РузскийЦОПУ</w:t>
            </w:r>
            <w:br/>
            <w:r>
              <w:rPr/>
              <w:t xml:space="preserve">МЧС России» опре­делен Федеральным законом от 7 ноября 2011 г. №306-ФЗ "О де­нежном довольствии военнослужащих и предоставлении имотдельных выплат" и приказа МЧС РФ</w:t>
            </w:r>
            <w:br/>
            <w:r>
              <w:rPr/>
              <w:t xml:space="preserve">от 8 декабря 2020 г. № 919 "Об утверждении Порядка обеспеченияденежным довольствием военнослужащих системы МЧС России,предоставления им отдельных выплат и денежных выплат гражданам,призванным на военные сборы, а также членам их семей".</w:t>
            </w:r>
            <w:br/>
            <w:br/>
            <w:r>
              <w:rPr/>
              <w:t xml:space="preserve">Денежное довольствие военнослужащих состоит: проходящих военнуюслужбу по контракту - из месячного оклада в соответствии сприсвоенным воинским званием (далее - оклад по воинскому званию) имесячного оклада в соответствии с занимаемой воинской должностью(далее - оклад по воинской должности), которые составляют окладмесячного денежного содержания военнослужащих (далее - окладденежного содержания) и из ежемесячных и иных дополнительных выплат(далее - дополнительные выплаты); проходящих военную службу попризыву - из оклада по воинской должности, дополнительных и иныхвыплат.</w:t>
            </w:r>
            <w:br/>
            <w:br/>
            <w:r>
              <w:rPr>
                <w:b w:val="1"/>
                <w:bCs w:val="1"/>
              </w:rPr>
              <w:t xml:space="preserve">Дополнительные выплаты:</w:t>
            </w:r>
            <w:br/>
            <w:r>
              <w:rPr/>
              <w:t xml:space="preserve">-Ежемесячная надбавка за выслугу лет;</w:t>
            </w:r>
            <w:br/>
            <w:r>
              <w:rPr/>
              <w:t xml:space="preserve">-Ежемесячная надбавка за классную квалификацию;</w:t>
            </w:r>
            <w:br/>
            <w:r>
              <w:rPr/>
              <w:t xml:space="preserve">-Ежемесячная надбавка за работу со сведениями, составляю­щимигосударственную тайну;</w:t>
            </w:r>
            <w:br/>
            <w:r>
              <w:rPr/>
              <w:t xml:space="preserve">-Ежемесячная надбавка за особые условия военной службы;</w:t>
            </w:r>
            <w:br/>
            <w:r>
              <w:rPr/>
              <w:t xml:space="preserve">-Ежемесячная надбавка за выполнение задач, непосредс­твенносвязанных с риском для жизни и здоровья в мир­ное время;</w:t>
            </w:r>
            <w:br/>
            <w:r>
              <w:rPr/>
              <w:t xml:space="preserve">-Ежемесячная надбавка за особые достижения в службе.</w:t>
            </w:r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r>
              <w:rPr/>
              <w:t xml:space="preserve">-Премия за добросовестное и эффективное исполнение должностныхобязанностей;</w:t>
            </w:r>
            <w:br/>
            <w:r>
              <w:rPr/>
              <w:t xml:space="preserve">-Ежегодная материальная помощь.</w:t>
            </w:r>
            <w:br/>
            <w:br/>
            <w:r>
              <w:rPr/>
              <w:t xml:space="preserve">Оплата труда гражданского персонала производится в соответствии сприказом МЧС России от 14 декабря 2019 г. № 747 "О системе оплатытруда работников бюджетных, ав­тономных и казенных учреждений МЧСРоссии и граж­данского пер­сонала спасательных воинскихфор­мирований МЧС России". Размер заработной платы граж­данскогоперсонала складывается из должностных ок­ладов (тарифных ставок),компенсационных и стимулиру­ющих выплат.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2026-02-28T07:24:30+03:00</dcterms:created>
  <dcterms:modified xsi:type="dcterms:W3CDTF">2026-02-28T07:24:30+03:00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